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r w:rsidRPr="003C35B5">
        <w:rPr>
          <w:b/>
        </w:rPr>
        <w:t xml:space="preserve">SOAH DOCKET NO. </w:t>
      </w:r>
      <w:r w:rsidR="00BA03D0">
        <w:rPr>
          <w:b/>
        </w:rPr>
        <w:t>473-16-2751</w:t>
      </w:r>
    </w:p>
    <w:p w:rsidR="00275B22" w:rsidRPr="003C35B5" w:rsidRDefault="00275B22">
      <w:pPr>
        <w:spacing w:before="0" w:line="240" w:lineRule="auto"/>
        <w:jc w:val="center"/>
        <w:rPr>
          <w:b/>
        </w:rPr>
      </w:pPr>
      <w:r w:rsidRPr="003C35B5">
        <w:rPr>
          <w:b/>
        </w:rPr>
        <w:t xml:space="preserve">PUC DOCKET NO. </w:t>
      </w:r>
      <w:r w:rsidR="002F7873">
        <w:rPr>
          <w:b/>
        </w:rPr>
        <w:t>45624</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734762" w:rsidRDefault="00734762" w:rsidP="00B17E76">
            <w:pPr>
              <w:spacing w:before="0" w:line="240" w:lineRule="auto"/>
              <w:jc w:val="left"/>
              <w:rPr>
                <w:b/>
              </w:rPr>
            </w:pPr>
            <w:r>
              <w:rPr>
                <w:b/>
              </w:rPr>
              <w:t>APPL</w:t>
            </w:r>
            <w:r w:rsidR="00F803DC">
              <w:rPr>
                <w:b/>
              </w:rPr>
              <w:t>ICATION OF THE CITY OF GARLAND TO AMEND A CERTIFICATE OF CONVENIENCE AND NECESSITY FOR THE RUSK</w:t>
            </w:r>
            <w:r w:rsidR="00B17E76">
              <w:rPr>
                <w:b/>
              </w:rPr>
              <w:t>-</w:t>
            </w:r>
            <w:r w:rsidR="00F803DC">
              <w:rPr>
                <w:b/>
              </w:rPr>
              <w:t>TO</w:t>
            </w:r>
            <w:r w:rsidR="00B17E76">
              <w:rPr>
                <w:b/>
              </w:rPr>
              <w:t>-</w:t>
            </w:r>
            <w:r w:rsidR="00F803DC">
              <w:rPr>
                <w:b/>
              </w:rPr>
              <w:t>PANOLA DOUBLE-CIRCUIT 345-KV</w:t>
            </w:r>
            <w:r>
              <w:rPr>
                <w:b/>
              </w:rPr>
              <w:t xml:space="preserve"> TRANSMISSION LINE IN RUSK AND PANOLA COUNTIES</w:t>
            </w:r>
          </w:p>
        </w:tc>
        <w:tc>
          <w:tcPr>
            <w:tcW w:w="360" w:type="dxa"/>
          </w:tcPr>
          <w:p w:rsidR="00275B22" w:rsidRDefault="00275B22">
            <w:pPr>
              <w:spacing w:before="0" w:line="240" w:lineRule="auto"/>
              <w:ind w:right="576"/>
              <w:rPr>
                <w:b/>
              </w:rPr>
            </w:pPr>
            <w:r w:rsidRPr="003C35B5">
              <w:rPr>
                <w:b/>
              </w:rPr>
              <w:t>§§§</w:t>
            </w:r>
          </w:p>
          <w:p w:rsidR="00734762" w:rsidRDefault="00734762">
            <w:pPr>
              <w:spacing w:before="0" w:line="240" w:lineRule="auto"/>
              <w:ind w:right="576"/>
              <w:rPr>
                <w:b/>
              </w:rPr>
            </w:pPr>
            <w:r>
              <w:rPr>
                <w:b/>
              </w:rPr>
              <w:t>§</w:t>
            </w:r>
          </w:p>
          <w:p w:rsidR="00734762" w:rsidRDefault="00734762">
            <w:pPr>
              <w:spacing w:before="0" w:line="240" w:lineRule="auto"/>
              <w:ind w:right="576"/>
              <w:rPr>
                <w:b/>
              </w:rPr>
            </w:pPr>
            <w:r>
              <w:rPr>
                <w:b/>
              </w:rPr>
              <w:t>§</w:t>
            </w:r>
          </w:p>
          <w:p w:rsidR="00734762" w:rsidRDefault="00734762">
            <w:pPr>
              <w:spacing w:before="0" w:line="240" w:lineRule="auto"/>
              <w:ind w:right="576"/>
              <w:rPr>
                <w:b/>
              </w:rPr>
            </w:pPr>
            <w:r>
              <w:rPr>
                <w:b/>
              </w:rPr>
              <w:t>§</w:t>
            </w:r>
          </w:p>
          <w:p w:rsidR="00734762" w:rsidRPr="003C35B5" w:rsidRDefault="00734762">
            <w:pPr>
              <w:spacing w:before="0" w:line="240" w:lineRule="auto"/>
              <w:ind w:right="576"/>
              <w:rPr>
                <w:b/>
              </w:rPr>
            </w:pPr>
            <w:r>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Default="00275B22">
            <w:pPr>
              <w:spacing w:before="0" w:line="240" w:lineRule="auto"/>
              <w:jc w:val="center"/>
              <w:rPr>
                <w:b/>
              </w:rPr>
            </w:pPr>
            <w:r w:rsidRPr="003C35B5">
              <w:rPr>
                <w:b/>
              </w:rPr>
              <w:t>OF TEXAS</w:t>
            </w:r>
          </w:p>
          <w:p w:rsidR="00BB20ED" w:rsidRDefault="00BB20ED">
            <w:pPr>
              <w:spacing w:before="0" w:line="240" w:lineRule="auto"/>
              <w:jc w:val="center"/>
              <w:rPr>
                <w:b/>
              </w:rPr>
            </w:pPr>
          </w:p>
          <w:p w:rsidR="00197D06" w:rsidRDefault="00197D06">
            <w:pPr>
              <w:spacing w:before="0" w:line="240" w:lineRule="auto"/>
              <w:jc w:val="center"/>
              <w:rPr>
                <w:b/>
                <w:u w:val="single"/>
              </w:rPr>
            </w:pPr>
          </w:p>
          <w:p w:rsidR="00BB20ED" w:rsidRPr="00BB20ED" w:rsidRDefault="00BB20ED">
            <w:pPr>
              <w:spacing w:before="0" w:line="240" w:lineRule="auto"/>
              <w:jc w:val="center"/>
              <w:rPr>
                <w:b/>
                <w:u w:val="single"/>
              </w:rPr>
            </w:pP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jc w:val="center"/>
      </w:pPr>
      <w:r w:rsidRPr="003C35B5">
        <w:rPr>
          <w:b/>
        </w:rPr>
        <w:t>PRELIMINARY ORDER</w:t>
      </w:r>
    </w:p>
    <w:p w:rsidR="00275B22" w:rsidRPr="003C35B5" w:rsidRDefault="00275B22">
      <w:pPr>
        <w:spacing w:before="0"/>
        <w:jc w:val="center"/>
        <w:rPr>
          <w:b/>
        </w:rPr>
      </w:pPr>
    </w:p>
    <w:p w:rsidR="00275B22" w:rsidRDefault="00275B22">
      <w:pPr>
        <w:spacing w:before="0"/>
      </w:pPr>
      <w:r w:rsidRPr="003C35B5">
        <w:rPr>
          <w:b/>
        </w:rPr>
        <w:tab/>
      </w:r>
      <w:r w:rsidR="00065173">
        <w:t xml:space="preserve">On February 25, 2016, the City of Garland filed an application with the Commission for a CCN for a </w:t>
      </w:r>
      <w:r w:rsidR="00C047A0">
        <w:t>new</w:t>
      </w:r>
      <w:r w:rsidR="00065173">
        <w:t xml:space="preserve"> transmission line in Ru</w:t>
      </w:r>
      <w:r w:rsidR="005007AF">
        <w:t>sk and Panola counties, Texas.</w:t>
      </w:r>
      <w:r w:rsidR="00043F4E">
        <w:t xml:space="preserve">  Garland </w:t>
      </w:r>
      <w:r w:rsidR="00FA7B83">
        <w:t xml:space="preserve">states that this project </w:t>
      </w:r>
      <w:r w:rsidR="003860B1">
        <w:t>was incorporated in</w:t>
      </w:r>
      <w:r w:rsidR="00F54584">
        <w:t xml:space="preserve"> a final order by</w:t>
      </w:r>
      <w:r w:rsidR="00594E99">
        <w:t xml:space="preserve"> the</w:t>
      </w:r>
      <w:r w:rsidR="00FA7B83">
        <w:t xml:space="preserve"> Federal Energy Regulatory Commission (FERC) </w:t>
      </w:r>
      <w:r w:rsidR="0063761E">
        <w:t xml:space="preserve">in </w:t>
      </w:r>
      <w:r w:rsidR="002C4BFF">
        <w:t>Docket No.</w:t>
      </w:r>
      <w:r w:rsidR="00FA7B83">
        <w:t xml:space="preserve"> TX11-</w:t>
      </w:r>
      <w:r w:rsidR="00C047A0">
        <w:t>0</w:t>
      </w:r>
      <w:r w:rsidR="00FA7B83">
        <w:t>1-001</w:t>
      </w:r>
      <w:r w:rsidR="00FA7B83">
        <w:rPr>
          <w:rStyle w:val="FootnoteReference"/>
        </w:rPr>
        <w:footnoteReference w:id="1"/>
      </w:r>
      <w:r w:rsidR="00410FA7">
        <w:t xml:space="preserve"> </w:t>
      </w:r>
      <w:r w:rsidR="00C047A0">
        <w:t>(</w:t>
      </w:r>
      <w:r w:rsidR="00C047A0">
        <w:rPr>
          <w:i/>
        </w:rPr>
        <w:t>Southern</w:t>
      </w:r>
      <w:r w:rsidR="00C047A0" w:rsidRPr="00C047A0">
        <w:rPr>
          <w:i/>
        </w:rPr>
        <w:t xml:space="preserve"> Cross</w:t>
      </w:r>
      <w:r w:rsidR="00C047A0">
        <w:t>)</w:t>
      </w:r>
      <w:r w:rsidR="00527C85">
        <w:t>,</w:t>
      </w:r>
      <w:r w:rsidR="00C047A0">
        <w:t xml:space="preserve"> and</w:t>
      </w:r>
      <w:r w:rsidR="00527C85">
        <w:t xml:space="preserve"> Garland</w:t>
      </w:r>
      <w:r w:rsidR="00C047A0">
        <w:t xml:space="preserve"> </w:t>
      </w:r>
      <w:r w:rsidR="005326FD">
        <w:t>therefore claims that PURA</w:t>
      </w:r>
      <w:r w:rsidR="008C731B">
        <w:t> </w:t>
      </w:r>
      <w:r w:rsidR="005326FD">
        <w:t>§</w:t>
      </w:r>
      <w:r w:rsidR="00556325">
        <w:t>§ </w:t>
      </w:r>
      <w:r w:rsidR="008C731B">
        <w:t>37.051(c</w:t>
      </w:r>
      <w:r w:rsidR="008C731B">
        <w:noBreakHyphen/>
        <w:t>2), </w:t>
      </w:r>
      <w:r w:rsidR="005326FD">
        <w:t>(</w:t>
      </w:r>
      <w:proofErr w:type="spellStart"/>
      <w:r w:rsidR="005326FD">
        <w:t>i</w:t>
      </w:r>
      <w:proofErr w:type="spellEnd"/>
      <w:r w:rsidR="005326FD">
        <w:t>) apply.</w:t>
      </w:r>
      <w:r w:rsidR="00675859">
        <w:t xml:space="preserve">  Under those provisions, the Commission shall approve the application not later than the 185</w:t>
      </w:r>
      <w:r w:rsidR="008C731B">
        <w:t>th</w:t>
      </w:r>
      <w:r w:rsidR="00675859">
        <w:t xml:space="preserve"> day after the application is filed</w:t>
      </w:r>
      <w:r w:rsidR="008C3149">
        <w:t xml:space="preserve"> but may prescribe reasonable conditions to protect the public interest that are consistent with the FERC’s final order in </w:t>
      </w:r>
      <w:r w:rsidR="008C3149">
        <w:rPr>
          <w:i/>
        </w:rPr>
        <w:t>Southern Cross</w:t>
      </w:r>
      <w:r w:rsidR="00675859">
        <w:t>.</w:t>
      </w:r>
    </w:p>
    <w:p w:rsidR="008A3AF6" w:rsidRDefault="008A3AF6">
      <w:pPr>
        <w:spacing w:before="0"/>
      </w:pPr>
      <w:r>
        <w:tab/>
        <w:t xml:space="preserve">The </w:t>
      </w:r>
      <w:r w:rsidR="007505CE">
        <w:t xml:space="preserve">proposed </w:t>
      </w:r>
      <w:r w:rsidR="00237F22">
        <w:t xml:space="preserve">transmission </w:t>
      </w:r>
      <w:r w:rsidR="007505CE">
        <w:t>line will serve as a physical connection between the ERCOT and SERC regions</w:t>
      </w:r>
      <w:r>
        <w:t xml:space="preserve">.  </w:t>
      </w:r>
      <w:r w:rsidR="00573A6F">
        <w:t xml:space="preserve">The facilities include construction of a new double-circuit 345-kV transmission line from the new Rusk switching station, to be owned by </w:t>
      </w:r>
      <w:proofErr w:type="spellStart"/>
      <w:r w:rsidR="00573A6F">
        <w:t>Oncor</w:t>
      </w:r>
      <w:proofErr w:type="spellEnd"/>
      <w:r w:rsidR="00573A6F">
        <w:t xml:space="preserve"> Electric Delivery Company, to the new Panola switching station, to be owned by Garland.  </w:t>
      </w:r>
    </w:p>
    <w:p w:rsidR="004E42EB" w:rsidRDefault="00323294">
      <w:pPr>
        <w:spacing w:before="0"/>
      </w:pPr>
      <w:r>
        <w:tab/>
        <w:t xml:space="preserve">The total estimated cost ranges </w:t>
      </w:r>
      <w:r w:rsidR="0059481C">
        <w:t xml:space="preserve">between </w:t>
      </w:r>
      <w:r>
        <w:t xml:space="preserve">$103.8 </w:t>
      </w:r>
      <w:r w:rsidR="0059481C">
        <w:t>and</w:t>
      </w:r>
      <w:r>
        <w:t xml:space="preserve"> $109.9 million, depending on the route chosen.  </w:t>
      </w:r>
      <w:r w:rsidR="00612E27">
        <w:t>Garland has committed that it will not seek to recover the costs of developing, constructing, interconnecting, or financing the project or the Panola switching station thr</w:t>
      </w:r>
      <w:r w:rsidR="0059481C">
        <w:t>ough transmission service rates</w:t>
      </w:r>
      <w:r w:rsidR="00612E27">
        <w:t xml:space="preserve"> but will own and operate th</w:t>
      </w:r>
      <w:r w:rsidR="0059481C">
        <w:t>e</w:t>
      </w:r>
      <w:r w:rsidR="00612E27">
        <w:t xml:space="preserve"> facilities as open access transmission facilities subject to</w:t>
      </w:r>
      <w:r w:rsidR="00691C32">
        <w:t xml:space="preserve"> the</w:t>
      </w:r>
      <w:r w:rsidR="0059481C">
        <w:t xml:space="preserve"> applicable</w:t>
      </w:r>
      <w:r w:rsidR="00612E27">
        <w:t xml:space="preserve"> Commission rules, NERC standards, and ERCOT protocols.  </w:t>
      </w:r>
    </w:p>
    <w:p w:rsidR="00AE6039" w:rsidRPr="002F0960" w:rsidRDefault="00612E27" w:rsidP="002F0960">
      <w:pPr>
        <w:ind w:firstLine="720"/>
      </w:pPr>
      <w:r>
        <w:lastRenderedPageBreak/>
        <w:t>Garland has presented 12 alternative routes ranging between approximately 37 and 40 miles in length.</w:t>
      </w:r>
      <w:r w:rsidR="004E42EB">
        <w:t xml:space="preserve">  </w:t>
      </w:r>
      <w:r w:rsidR="00122714">
        <w:t>The Commission could approve a</w:t>
      </w:r>
      <w:r>
        <w:t xml:space="preserve">ny of the alternative routes as well as any combination of </w:t>
      </w:r>
      <w:r w:rsidR="00371B5F">
        <w:t xml:space="preserve">alternative </w:t>
      </w:r>
      <w:r>
        <w:t>routes or route segments.</w:t>
      </w:r>
    </w:p>
    <w:p w:rsidR="00275B22" w:rsidRPr="003C35B5" w:rsidRDefault="009F1850" w:rsidP="002F0960">
      <w:pPr>
        <w:jc w:val="center"/>
      </w:pPr>
      <w:r w:rsidRPr="003C35B5">
        <w:rPr>
          <w:b/>
        </w:rPr>
        <w:t>I</w:t>
      </w:r>
      <w:r w:rsidR="00275B22" w:rsidRPr="003C35B5">
        <w:rPr>
          <w:b/>
        </w:rPr>
        <w:t xml:space="preserve">.  </w:t>
      </w:r>
      <w:r w:rsidR="002B0DD0" w:rsidRPr="003C35B5">
        <w:rPr>
          <w:b/>
        </w:rPr>
        <w:t>Issues to b</w:t>
      </w:r>
      <w:r w:rsidR="00274355">
        <w:rPr>
          <w:b/>
        </w:rPr>
        <w:t xml:space="preserve">e </w:t>
      </w:r>
      <w:proofErr w:type="gramStart"/>
      <w:r w:rsidR="00274355">
        <w:rPr>
          <w:b/>
          <w:caps/>
        </w:rPr>
        <w:t>a</w:t>
      </w:r>
      <w:r w:rsidR="00C35689" w:rsidRPr="003C35B5">
        <w:rPr>
          <w:b/>
        </w:rPr>
        <w:t>ddressed</w:t>
      </w:r>
      <w:proofErr w:type="gramEnd"/>
    </w:p>
    <w:p w:rsidR="00275B22" w:rsidRPr="003C35B5" w:rsidRDefault="00275B22" w:rsidP="002F0960">
      <w:r w:rsidRPr="003C35B5">
        <w:tab/>
      </w:r>
      <w:r w:rsidR="00364BA2" w:rsidRPr="003C35B5">
        <w:t>T</w:t>
      </w:r>
      <w:r w:rsidRPr="003C35B5">
        <w:t xml:space="preserve">he Commission must provide to the administrative law judge (ALJ) </w:t>
      </w:r>
      <w:r w:rsidR="002B0DD0" w:rsidRPr="003C35B5">
        <w:t xml:space="preserve">a list of issues or areas to be </w:t>
      </w:r>
      <w:r w:rsidRPr="003C35B5">
        <w:t xml:space="preserve">addressed in any proceeding referred to the </w:t>
      </w:r>
      <w:r w:rsidR="00364BA2" w:rsidRPr="003C35B5">
        <w:t>State Office of Administrative Hearings (</w:t>
      </w:r>
      <w:r w:rsidRPr="003C35B5">
        <w:t>SOAH</w:t>
      </w:r>
      <w:r w:rsidR="00364BA2" w:rsidRPr="003C35B5">
        <w:t>)</w:t>
      </w:r>
      <w:r w:rsidRPr="003C35B5">
        <w:t>.</w:t>
      </w:r>
      <w:r w:rsidR="00364BA2" w:rsidRPr="003C35B5">
        <w:rPr>
          <w:rStyle w:val="FootnoteReference"/>
        </w:rPr>
        <w:footnoteReference w:id="2"/>
      </w:r>
      <w:r w:rsidRPr="003C35B5">
        <w:t xml:space="preserve">  After reviewing the pleadings submitted by the parties, the Commission identifies the following issues that must be addressed in this docket:</w:t>
      </w:r>
    </w:p>
    <w:p w:rsidR="00275B22" w:rsidRPr="003C35B5" w:rsidRDefault="008E5899">
      <w:pPr>
        <w:pStyle w:val="ItemList"/>
        <w:numPr>
          <w:ilvl w:val="0"/>
          <w:numId w:val="1"/>
        </w:numPr>
        <w:spacing w:before="240"/>
        <w:ind w:left="720" w:hanging="720"/>
      </w:pPr>
      <w:r>
        <w:t xml:space="preserve">Is this application for a facility to be constructed under an interconnection agreement appended to an offer of </w:t>
      </w:r>
      <w:r w:rsidR="003B6450">
        <w:t xml:space="preserve">settlement approved in </w:t>
      </w:r>
      <w:r w:rsidR="000421B9">
        <w:t xml:space="preserve">the FERC’s final order in </w:t>
      </w:r>
      <w:r w:rsidR="000421B9">
        <w:rPr>
          <w:i/>
        </w:rPr>
        <w:t>Southern Cross</w:t>
      </w:r>
      <w:r w:rsidR="003B6450">
        <w:t>?</w:t>
      </w:r>
    </w:p>
    <w:p w:rsidR="001C5B78" w:rsidRPr="00C60EC4" w:rsidRDefault="008E5899" w:rsidP="005F335E">
      <w:pPr>
        <w:pStyle w:val="ItemList"/>
        <w:numPr>
          <w:ilvl w:val="0"/>
          <w:numId w:val="1"/>
        </w:numPr>
        <w:spacing w:before="240"/>
        <w:ind w:left="720" w:hanging="720"/>
        <w:rPr>
          <w:b/>
          <w:i/>
          <w:u w:val="single"/>
        </w:rPr>
      </w:pPr>
      <w:r>
        <w:t>If so, w</w:t>
      </w:r>
      <w:r w:rsidR="00321C3A">
        <w:t>hat reasonable conditions consistent with</w:t>
      </w:r>
      <w:r w:rsidR="00E30984">
        <w:t xml:space="preserve"> the</w:t>
      </w:r>
      <w:r w:rsidR="00321C3A">
        <w:t xml:space="preserve"> FERC’s final order in </w:t>
      </w:r>
      <w:r w:rsidR="00321C3A" w:rsidRPr="001C5B78">
        <w:rPr>
          <w:i/>
        </w:rPr>
        <w:t>Southern Cross</w:t>
      </w:r>
      <w:r w:rsidR="00321C3A">
        <w:t xml:space="preserve">, if any, should the Commission prescribe </w:t>
      </w:r>
      <w:r w:rsidR="00C02066">
        <w:t xml:space="preserve">in order </w:t>
      </w:r>
      <w:r w:rsidR="00321C3A">
        <w:t>to protect the public interest?</w:t>
      </w:r>
    </w:p>
    <w:p w:rsidR="00661B3A" w:rsidRPr="000F3084" w:rsidRDefault="00661B3A" w:rsidP="00C60EC4">
      <w:pPr>
        <w:pStyle w:val="ItemList"/>
        <w:numPr>
          <w:ilvl w:val="0"/>
          <w:numId w:val="12"/>
        </w:numPr>
        <w:spacing w:before="240"/>
        <w:rPr>
          <w:b/>
          <w:i/>
          <w:u w:val="single"/>
        </w:rPr>
      </w:pPr>
      <w:r>
        <w:t>Is it appropriate for the Commission to specify a route as a re</w:t>
      </w:r>
      <w:r w:rsidR="008535CF">
        <w:t>asonable condition?  If so, which</w:t>
      </w:r>
      <w:r>
        <w:t xml:space="preserve"> route should be selected?</w:t>
      </w:r>
    </w:p>
    <w:p w:rsidR="000F3084" w:rsidRPr="001C5B78" w:rsidRDefault="000F3084" w:rsidP="00C60EC4">
      <w:pPr>
        <w:pStyle w:val="ItemList"/>
        <w:numPr>
          <w:ilvl w:val="0"/>
          <w:numId w:val="12"/>
        </w:numPr>
        <w:spacing w:before="240"/>
        <w:rPr>
          <w:b/>
          <w:i/>
          <w:u w:val="single"/>
        </w:rPr>
      </w:pPr>
      <w:r>
        <w:t xml:space="preserve">Should the Commission require Southern Cross and Garland to give effect to the representations that they made in </w:t>
      </w:r>
      <w:r>
        <w:rPr>
          <w:i/>
        </w:rPr>
        <w:t>Southern Cross</w:t>
      </w:r>
      <w:r>
        <w:t>?</w:t>
      </w:r>
    </w:p>
    <w:p w:rsidR="00250A31" w:rsidRDefault="001C5B78" w:rsidP="00250A31">
      <w:pPr>
        <w:pStyle w:val="ItemList"/>
        <w:numPr>
          <w:ilvl w:val="0"/>
          <w:numId w:val="1"/>
        </w:numPr>
        <w:spacing w:before="240"/>
        <w:ind w:left="720" w:hanging="720"/>
        <w:rPr>
          <w:b/>
          <w:i/>
          <w:u w:val="single"/>
        </w:rPr>
      </w:pPr>
      <w:r>
        <w:t>Is Southern Cross subject to the requirements of PURA § 37.051(c-2)</w:t>
      </w:r>
      <w:r w:rsidR="00D11909">
        <w:t xml:space="preserve"> and to the Commission’s imposition of reasonable conditions?</w:t>
      </w:r>
    </w:p>
    <w:p w:rsidR="00CE35AC" w:rsidRDefault="00250A31" w:rsidP="00CE35AC">
      <w:pPr>
        <w:pStyle w:val="ItemList"/>
        <w:numPr>
          <w:ilvl w:val="0"/>
          <w:numId w:val="11"/>
        </w:numPr>
        <w:spacing w:before="240"/>
        <w:rPr>
          <w:b/>
          <w:i/>
          <w:u w:val="single"/>
        </w:rPr>
      </w:pPr>
      <w:r>
        <w:t>If so, should Southern Cross be required to execute the Market Participant Agreement with ERCOT?  If so, then what type of market participant would be appropriate as applied to Southern Cross?</w:t>
      </w:r>
    </w:p>
    <w:p w:rsidR="001C5B78" w:rsidRPr="00CE5C32" w:rsidRDefault="00C122DB" w:rsidP="00CE35AC">
      <w:pPr>
        <w:pStyle w:val="ItemList"/>
        <w:numPr>
          <w:ilvl w:val="0"/>
          <w:numId w:val="11"/>
        </w:numPr>
        <w:spacing w:before="240"/>
        <w:rPr>
          <w:b/>
          <w:i/>
          <w:u w:val="single"/>
        </w:rPr>
      </w:pPr>
      <w:r>
        <w:lastRenderedPageBreak/>
        <w:t>Should the Commission require Southern Cross and ERCOT to negotiate and execute an agreement addressing coordination issues?  If so, which regulatory authority would have the authority to decide any disputes between Southern Cross and ERCOT?</w:t>
      </w:r>
      <w:r w:rsidR="00AE70B4">
        <w:t xml:space="preserve">  </w:t>
      </w:r>
    </w:p>
    <w:p w:rsidR="00CE5C32" w:rsidRDefault="00CE5C32" w:rsidP="00CE5C32">
      <w:pPr>
        <w:pStyle w:val="ItemList"/>
        <w:spacing w:before="240"/>
        <w:rPr>
          <w:b/>
          <w:i/>
          <w:u w:val="single"/>
        </w:rPr>
      </w:pPr>
      <w:r w:rsidRPr="00CE5C32">
        <w:rPr>
          <w:b/>
          <w:i/>
          <w:u w:val="single"/>
        </w:rPr>
        <w:t>ERCOT</w:t>
      </w:r>
      <w:r w:rsidR="00FB4A92">
        <w:rPr>
          <w:b/>
          <w:i/>
          <w:u w:val="single"/>
        </w:rPr>
        <w:t xml:space="preserve"> issues</w:t>
      </w:r>
    </w:p>
    <w:p w:rsidR="005E773E" w:rsidRDefault="00FB4A92" w:rsidP="00CE5C32">
      <w:pPr>
        <w:pStyle w:val="ItemList"/>
        <w:numPr>
          <w:ilvl w:val="0"/>
          <w:numId w:val="1"/>
        </w:numPr>
        <w:spacing w:before="240"/>
      </w:pPr>
      <w:r>
        <w:t>The</w:t>
      </w:r>
      <w:r w:rsidR="005E773E">
        <w:t xml:space="preserve"> following issues </w:t>
      </w:r>
      <w:r>
        <w:t xml:space="preserve">should be addressed </w:t>
      </w:r>
      <w:r w:rsidR="005E773E">
        <w:t xml:space="preserve">in this proceeding: </w:t>
      </w:r>
    </w:p>
    <w:p w:rsidR="00CE5C32" w:rsidRDefault="00CE5C32" w:rsidP="005E773E">
      <w:pPr>
        <w:pStyle w:val="ItemList"/>
        <w:numPr>
          <w:ilvl w:val="0"/>
          <w:numId w:val="14"/>
        </w:numPr>
        <w:spacing w:before="240"/>
      </w:pPr>
      <w:r>
        <w:t>At what point of development should ERCOT include a proposed merchant DC tie project in the planning models?</w:t>
      </w:r>
    </w:p>
    <w:p w:rsidR="00CE5C32" w:rsidRDefault="00CE5C32" w:rsidP="005E773E">
      <w:pPr>
        <w:pStyle w:val="ItemList"/>
        <w:numPr>
          <w:ilvl w:val="0"/>
          <w:numId w:val="14"/>
        </w:numPr>
        <w:spacing w:before="240"/>
      </w:pPr>
      <w:r>
        <w:t>How should the uncertainty of whether DC ties will be exporting or importing be addressed in transmission planning?</w:t>
      </w:r>
    </w:p>
    <w:p w:rsidR="00CE5C32" w:rsidRDefault="00CE5C32" w:rsidP="005E773E">
      <w:pPr>
        <w:pStyle w:val="ItemList"/>
        <w:numPr>
          <w:ilvl w:val="0"/>
          <w:numId w:val="14"/>
        </w:numPr>
        <w:spacing w:before="240"/>
      </w:pPr>
      <w:r>
        <w:t>Should ERCOT ratepayers be financially responsible for transmission upgrade</w:t>
      </w:r>
      <w:r w:rsidR="00681DB9">
        <w:t>s that are necessary to facilitate</w:t>
      </w:r>
      <w:r>
        <w:t xml:space="preserve"> exports over DC ties, given that those improvements are made only to serve load in non-ERCOT areas?</w:t>
      </w:r>
    </w:p>
    <w:p w:rsidR="00CE5C32" w:rsidRDefault="00CE5C32" w:rsidP="005E773E">
      <w:pPr>
        <w:pStyle w:val="ItemList"/>
        <w:numPr>
          <w:ilvl w:val="0"/>
          <w:numId w:val="14"/>
        </w:numPr>
        <w:spacing w:before="240"/>
      </w:pPr>
      <w:r>
        <w:t>Should DC ties be subject to economic dispatch?  If not, how should ERCOT manage congestion created by DC tie imports/exports?</w:t>
      </w:r>
    </w:p>
    <w:p w:rsidR="00CE5C32" w:rsidRDefault="00CE5C32" w:rsidP="005E773E">
      <w:pPr>
        <w:pStyle w:val="ItemList"/>
        <w:numPr>
          <w:ilvl w:val="0"/>
          <w:numId w:val="14"/>
        </w:numPr>
        <w:spacing w:before="240"/>
      </w:pPr>
      <w:r>
        <w:t>Should ERCOT rules impose ramp restrictions on imports/exports over the DC ties, given system ramp limitations?</w:t>
      </w:r>
    </w:p>
    <w:p w:rsidR="00CE5C32" w:rsidRDefault="00CE5C32" w:rsidP="005E773E">
      <w:pPr>
        <w:pStyle w:val="ItemList"/>
        <w:numPr>
          <w:ilvl w:val="0"/>
          <w:numId w:val="14"/>
        </w:numPr>
        <w:spacing w:before="240"/>
      </w:pPr>
      <w:r>
        <w:t>How should ERCOT address the greater complexity of coordinating outages and the additional cost of addressing that complexity, given the unpredictable nature of DC tie flows?</w:t>
      </w:r>
    </w:p>
    <w:p w:rsidR="00CE5C32" w:rsidRDefault="00CE5C32" w:rsidP="005E773E">
      <w:pPr>
        <w:pStyle w:val="ItemList"/>
        <w:numPr>
          <w:ilvl w:val="0"/>
          <w:numId w:val="14"/>
        </w:numPr>
        <w:spacing w:before="240"/>
      </w:pPr>
      <w:r>
        <w:t>How wi</w:t>
      </w:r>
      <w:r w:rsidR="00681DB9">
        <w:t>ll ERCOT coordinate with other independent system operators (ISOs)/regional transmission operators (RTOs) and/or NERC balancing a</w:t>
      </w:r>
      <w:r>
        <w:t>uthorities (B</w:t>
      </w:r>
      <w:r w:rsidR="00681DB9">
        <w:t>A</w:t>
      </w:r>
      <w:r>
        <w:t>s) on imports or curtailments of exports during emergencies?  In the event ERCOT is unable to reach agreeable terms with the ot</w:t>
      </w:r>
      <w:r w:rsidR="00681DB9">
        <w:t>her affected ISOs/RTOs and/or BA</w:t>
      </w:r>
      <w:r>
        <w:t>s, what measures may/should ERCOT take to ensure reliability?</w:t>
      </w:r>
    </w:p>
    <w:p w:rsidR="00CE5C32" w:rsidRDefault="00CE5C32" w:rsidP="005E773E">
      <w:pPr>
        <w:pStyle w:val="ItemList"/>
        <w:numPr>
          <w:ilvl w:val="0"/>
          <w:numId w:val="14"/>
        </w:numPr>
        <w:spacing w:before="240"/>
      </w:pPr>
      <w:r>
        <w:lastRenderedPageBreak/>
        <w:t>Should either th</w:t>
      </w:r>
      <w:r w:rsidR="00681DB9">
        <w:t>e DC tie owner/operator or the qualified scheduling entity</w:t>
      </w:r>
      <w:r>
        <w:t xml:space="preserve"> scheduling over the tie be required to supply reactive power or primary frequency response to the ERCOT system, consistent with ERCOT’s treatment of generators?</w:t>
      </w:r>
    </w:p>
    <w:p w:rsidR="00CE5C32" w:rsidRPr="00CE5C32" w:rsidRDefault="00CE5C32" w:rsidP="005E773E">
      <w:pPr>
        <w:pStyle w:val="ItemList"/>
        <w:numPr>
          <w:ilvl w:val="0"/>
          <w:numId w:val="14"/>
        </w:numPr>
        <w:spacing w:before="240"/>
      </w:pPr>
      <w:r>
        <w:t xml:space="preserve">If the interconnection of a new DC tie or other asset to the ERCOT </w:t>
      </w:r>
      <w:r w:rsidR="00F229FB">
        <w:t>s</w:t>
      </w:r>
      <w:r>
        <w:t>ystem increases the most severe single contingency, should the cost</w:t>
      </w:r>
      <w:r w:rsidR="00F229FB">
        <w:t>s of any resulting increase in ancillary s</w:t>
      </w:r>
      <w:r>
        <w:t>ervices procured be borne by the owner of that asset?</w:t>
      </w:r>
    </w:p>
    <w:p w:rsidR="00ED2FB7" w:rsidRPr="001C5B78" w:rsidRDefault="00E149E4" w:rsidP="001C5B78">
      <w:pPr>
        <w:pStyle w:val="ItemList"/>
        <w:spacing w:before="240"/>
        <w:ind w:left="0" w:firstLine="0"/>
        <w:rPr>
          <w:b/>
          <w:i/>
          <w:u w:val="single"/>
        </w:rPr>
      </w:pPr>
      <w:r w:rsidRPr="001C5B78">
        <w:rPr>
          <w:b/>
          <w:i/>
          <w:u w:val="single"/>
        </w:rPr>
        <w:t>Texas Parks &amp; Wildlife Department</w:t>
      </w:r>
    </w:p>
    <w:p w:rsidR="00E149E4" w:rsidRPr="00016E29" w:rsidRDefault="00016E29" w:rsidP="005E773E">
      <w:pPr>
        <w:pStyle w:val="ItemList"/>
        <w:numPr>
          <w:ilvl w:val="0"/>
          <w:numId w:val="1"/>
        </w:numPr>
        <w:spacing w:before="240"/>
        <w:ind w:left="720" w:hanging="720"/>
        <w:rPr>
          <w:u w:val="single"/>
        </w:rPr>
      </w:pPr>
      <w:r>
        <w:t>On or after September 1, 2009, did the Texas Parks and Wildlife Department provide any recommendations or informational comments regarding this application?</w:t>
      </w:r>
      <w:r w:rsidR="00362C83">
        <w:rPr>
          <w:rStyle w:val="FootnoteReference"/>
        </w:rPr>
        <w:footnoteReference w:id="3"/>
      </w:r>
      <w:r>
        <w:t xml:space="preserve">  If so, please address the following issues:</w:t>
      </w:r>
    </w:p>
    <w:p w:rsidR="00016E29" w:rsidRPr="00016E29" w:rsidRDefault="00016E29" w:rsidP="00675859">
      <w:pPr>
        <w:pStyle w:val="ItemList"/>
        <w:numPr>
          <w:ilvl w:val="0"/>
          <w:numId w:val="10"/>
        </w:numPr>
        <w:spacing w:before="240"/>
        <w:ind w:left="1080"/>
        <w:rPr>
          <w:u w:val="single"/>
        </w:rPr>
      </w:pPr>
      <w:r>
        <w:t>What modifications, if any, should be made to the proposed project as a result of any recommendations or comments?</w:t>
      </w:r>
    </w:p>
    <w:p w:rsidR="00016E29" w:rsidRPr="00103F84" w:rsidRDefault="00016E29" w:rsidP="00675859">
      <w:pPr>
        <w:pStyle w:val="ItemList"/>
        <w:numPr>
          <w:ilvl w:val="0"/>
          <w:numId w:val="10"/>
        </w:numPr>
        <w:spacing w:before="240"/>
        <w:ind w:left="1080"/>
        <w:rPr>
          <w:u w:val="single"/>
        </w:rPr>
      </w:pPr>
      <w:r>
        <w:t xml:space="preserve">What conditions or limitations, if any, should be included </w:t>
      </w:r>
      <w:r w:rsidR="00103F84">
        <w:t>in the final order in this docket as a result of any recommendations or comments?</w:t>
      </w:r>
    </w:p>
    <w:p w:rsidR="00103F84" w:rsidRPr="00103F84" w:rsidRDefault="00103F84" w:rsidP="00675859">
      <w:pPr>
        <w:pStyle w:val="ItemList"/>
        <w:numPr>
          <w:ilvl w:val="0"/>
          <w:numId w:val="10"/>
        </w:numPr>
        <w:spacing w:before="240"/>
        <w:ind w:left="1080"/>
        <w:rPr>
          <w:u w:val="single"/>
        </w:rPr>
      </w:pPr>
      <w:r>
        <w:t>What other disposition, if any, should be made of any recommendations or comments?</w:t>
      </w:r>
    </w:p>
    <w:p w:rsidR="00103F84" w:rsidRPr="00E149E4" w:rsidRDefault="00103F84" w:rsidP="00675859">
      <w:pPr>
        <w:pStyle w:val="ItemList"/>
        <w:numPr>
          <w:ilvl w:val="0"/>
          <w:numId w:val="10"/>
        </w:numPr>
        <w:spacing w:before="240"/>
        <w:ind w:left="1080"/>
        <w:rPr>
          <w:u w:val="single"/>
        </w:rPr>
      </w:pPr>
      <w:r>
        <w:t>If any recommendation or comment should not be incorporated in this project or the final order, or should not be acted upon, or is otherwise inappropriate or incorrect in light of the specific facts and circumstances presented in this application or the law applicable to contested cases, please explain why that is the case.</w:t>
      </w:r>
    </w:p>
    <w:p w:rsidR="00E149E4" w:rsidRDefault="00E149E4" w:rsidP="00E149E4">
      <w:pPr>
        <w:pStyle w:val="ItemList"/>
        <w:spacing w:before="240"/>
        <w:rPr>
          <w:b/>
          <w:i/>
          <w:u w:val="single"/>
        </w:rPr>
      </w:pPr>
      <w:r w:rsidRPr="00E149E4">
        <w:rPr>
          <w:b/>
          <w:i/>
          <w:u w:val="single"/>
        </w:rPr>
        <w:t>Texas Parks &amp; Wildlife Code Chapter 26</w:t>
      </w:r>
    </w:p>
    <w:p w:rsidR="00E95E0E" w:rsidRDefault="005E773E" w:rsidP="00675859">
      <w:pPr>
        <w:pStyle w:val="ItemList"/>
        <w:spacing w:before="240"/>
      </w:pPr>
      <w:r>
        <w:t>6</w:t>
      </w:r>
      <w:r w:rsidR="00665510">
        <w:t xml:space="preserve">. </w:t>
      </w:r>
      <w:r w:rsidR="00665510">
        <w:tab/>
      </w:r>
      <w:r w:rsidR="00992AF0">
        <w:t>Is notice and a hearing as provided in § 26.002 of the Texas Parks and Wildlife Code required in this case?</w:t>
      </w:r>
    </w:p>
    <w:p w:rsidR="00A96457" w:rsidRDefault="005E773E" w:rsidP="00675859">
      <w:pPr>
        <w:pStyle w:val="ItemList"/>
        <w:spacing w:before="240"/>
      </w:pPr>
      <w:r>
        <w:lastRenderedPageBreak/>
        <w:t>7</w:t>
      </w:r>
      <w:r w:rsidR="00E95E0E">
        <w:t xml:space="preserve">. </w:t>
      </w:r>
      <w:r w:rsidR="00E95E0E">
        <w:tab/>
      </w:r>
      <w:r w:rsidR="00CE35AC">
        <w:t xml:space="preserve">Was </w:t>
      </w:r>
      <w:r w:rsidR="00992AF0">
        <w:t xml:space="preserve">such </w:t>
      </w:r>
      <w:r w:rsidR="001A3539">
        <w:t xml:space="preserve">notice of </w:t>
      </w:r>
      <w:r w:rsidR="00A13D72">
        <w:t>a</w:t>
      </w:r>
      <w:r w:rsidR="001A3539">
        <w:t xml:space="preserve"> hearing</w:t>
      </w:r>
      <w:r w:rsidR="003F4EA4">
        <w:t xml:space="preserve"> provided</w:t>
      </w:r>
      <w:r w:rsidR="001A3539">
        <w:t>?</w:t>
      </w:r>
    </w:p>
    <w:p w:rsidR="00665510" w:rsidRDefault="005E773E" w:rsidP="00675859">
      <w:pPr>
        <w:pStyle w:val="ItemList"/>
        <w:spacing w:before="240"/>
      </w:pPr>
      <w:r>
        <w:t>8</w:t>
      </w:r>
      <w:r w:rsidR="00665510">
        <w:t xml:space="preserve">. </w:t>
      </w:r>
      <w:r w:rsidR="00665510">
        <w:tab/>
        <w:t>Is there no feasible and prudent alternative to the use</w:t>
      </w:r>
      <w:r w:rsidR="00ED0DBE">
        <w:t xml:space="preserve"> or taking</w:t>
      </w:r>
      <w:r w:rsidR="00665510">
        <w:t xml:space="preserve"> of public land</w:t>
      </w:r>
      <w:r w:rsidR="004F5BD8">
        <w:t xml:space="preserve"> which is</w:t>
      </w:r>
      <w:r w:rsidR="00665510">
        <w:t xml:space="preserve"> designated and used as a park, recreation area, scientific area, wildlife refuge, or historic site?</w:t>
      </w:r>
    </w:p>
    <w:p w:rsidR="00665510" w:rsidRPr="001A3539" w:rsidRDefault="005E773E" w:rsidP="00675859">
      <w:pPr>
        <w:pStyle w:val="ItemList"/>
        <w:spacing w:before="240"/>
      </w:pPr>
      <w:r>
        <w:t>9</w:t>
      </w:r>
      <w:r w:rsidR="00AD07F2">
        <w:t>.</w:t>
      </w:r>
      <w:r w:rsidR="00665510">
        <w:t xml:space="preserve"> </w:t>
      </w:r>
      <w:r w:rsidR="00665510">
        <w:tab/>
        <w:t>Does the project include all reasonable planning to minimize harm to the land as a park, recreation area, scientific area, wildlife refuge, or historic site, resulting from its use</w:t>
      </w:r>
      <w:r w:rsidR="00ED0DBE">
        <w:t xml:space="preserve"> or taking</w:t>
      </w:r>
      <w:r w:rsidR="00665510">
        <w:t>?</w:t>
      </w:r>
    </w:p>
    <w:p w:rsidR="002F0960" w:rsidRPr="00740E40" w:rsidRDefault="00E149E4" w:rsidP="002F0960">
      <w:r w:rsidRPr="003C35B5">
        <w:tab/>
        <w:t>This list of issues is not intended to be exhaustive.  The parties and the ALJ are free to raise and address any issues relevant in this docket that they deem necessary, subjec</w:t>
      </w:r>
      <w:r>
        <w:t>t to any limitations imposed by the ALJ</w:t>
      </w:r>
      <w:r w:rsidRPr="003C35B5">
        <w:t xml:space="preserve"> or by the Commission in future orders issued in this docket.  The Commission reserves the right to identify and provide to the ALJ in the future any additional issues or areas that must be addressed.</w:t>
      </w:r>
    </w:p>
    <w:p w:rsidR="002F0960" w:rsidRDefault="00ED2FB7" w:rsidP="00B77767">
      <w:pPr>
        <w:pStyle w:val="ItemList"/>
        <w:spacing w:before="240"/>
        <w:ind w:left="0" w:firstLine="0"/>
        <w:jc w:val="center"/>
        <w:rPr>
          <w:b/>
        </w:rPr>
      </w:pPr>
      <w:r>
        <w:rPr>
          <w:b/>
        </w:rPr>
        <w:t>II</w:t>
      </w:r>
      <w:r w:rsidR="009E4AB8" w:rsidRPr="009E4AB8">
        <w:rPr>
          <w:b/>
        </w:rPr>
        <w:t>.</w:t>
      </w:r>
      <w:r w:rsidR="0073745B">
        <w:rPr>
          <w:b/>
        </w:rPr>
        <w:t xml:space="preserve"> Issue Not to Be Addressed</w:t>
      </w:r>
    </w:p>
    <w:p w:rsidR="0073745B" w:rsidRPr="0073745B" w:rsidRDefault="0073745B" w:rsidP="002F0960">
      <w:pPr>
        <w:pStyle w:val="ItemList"/>
        <w:numPr>
          <w:ilvl w:val="0"/>
          <w:numId w:val="13"/>
        </w:numPr>
        <w:spacing w:before="240"/>
        <w:rPr>
          <w:b/>
        </w:rPr>
      </w:pPr>
      <w:r>
        <w:t>What is the appropriate compensation for right-of-way or condemnation of property?</w:t>
      </w:r>
    </w:p>
    <w:p w:rsidR="002F0960" w:rsidRDefault="0073745B" w:rsidP="002F0960">
      <w:pPr>
        <w:pStyle w:val="ItemList"/>
        <w:spacing w:before="240"/>
        <w:ind w:left="0" w:firstLine="720"/>
        <w:rPr>
          <w:b/>
        </w:rPr>
      </w:pPr>
      <w:r w:rsidRPr="00B43A3C">
        <w:t xml:space="preserve">The Commission does not have the authority to adjudicate or set the amount of </w:t>
      </w:r>
      <w:r>
        <w:t>compensation for rights-of-way or for condemnation.</w:t>
      </w:r>
      <w:r w:rsidR="009E4AB8" w:rsidRPr="009E4AB8">
        <w:rPr>
          <w:b/>
        </w:rPr>
        <w:t xml:space="preserve">  </w:t>
      </w:r>
    </w:p>
    <w:p w:rsidR="002F0960" w:rsidRPr="002F0960" w:rsidRDefault="0073745B" w:rsidP="00B77767">
      <w:pPr>
        <w:pStyle w:val="ItemList"/>
        <w:spacing w:before="240"/>
        <w:ind w:left="0" w:firstLine="0"/>
        <w:jc w:val="center"/>
        <w:rPr>
          <w:b/>
        </w:rPr>
      </w:pPr>
      <w:r>
        <w:rPr>
          <w:b/>
        </w:rPr>
        <w:t xml:space="preserve">III. </w:t>
      </w:r>
      <w:r w:rsidR="009E4AB8">
        <w:rPr>
          <w:b/>
        </w:rPr>
        <w:t>Effect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25159" w:rsidRDefault="00225159">
      <w:pPr>
        <w:spacing w:before="0" w:line="240" w:lineRule="auto"/>
        <w:jc w:val="left"/>
        <w:rPr>
          <w:b/>
        </w:rPr>
      </w:pPr>
      <w:r>
        <w:rPr>
          <w:b/>
        </w:rPr>
        <w:br w:type="page"/>
      </w:r>
    </w:p>
    <w:p w:rsidR="00275B22" w:rsidRPr="003C35B5" w:rsidRDefault="009675E3" w:rsidP="001A2247">
      <w:pPr>
        <w:spacing w:before="0" w:line="240" w:lineRule="auto"/>
        <w:jc w:val="left"/>
        <w:rPr>
          <w:b/>
        </w:rPr>
      </w:pPr>
      <w:r>
        <w:rPr>
          <w:b/>
        </w:rPr>
        <w:lastRenderedPageBreak/>
        <w:t>Signed at Austin, Texas</w:t>
      </w:r>
      <w:r w:rsidR="00275B22" w:rsidRPr="003C35B5">
        <w:rPr>
          <w:b/>
        </w:rPr>
        <w:t xml:space="preserve"> the ______ day of </w:t>
      </w:r>
      <w:r w:rsidR="00740E40">
        <w:rPr>
          <w:b/>
        </w:rPr>
        <w:t>March 2016</w:t>
      </w:r>
      <w:r w:rsidR="00275B22"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671831"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671831">
        <w:rPr>
          <w:b/>
        </w:rPr>
        <w:t>_________________________________________</w:t>
      </w:r>
      <w:r w:rsidR="00676438" w:rsidRPr="00671831">
        <w:rPr>
          <w:b/>
        </w:rPr>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bookmarkStart w:id="0" w:name="_GoBack"/>
      <w:bookmarkEnd w:id="0"/>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3C35B5" w:rsidRDefault="002B0DD0">
      <w:pPr>
        <w:spacing w:before="0" w:line="240" w:lineRule="auto"/>
        <w:rPr>
          <w:b/>
        </w:rPr>
      </w:pPr>
    </w:p>
    <w:p w:rsidR="007F3C40" w:rsidRPr="003C35B5" w:rsidRDefault="002B0DD0" w:rsidP="007F3C40">
      <w:pPr>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FB1294">
        <w:rPr>
          <w:noProof/>
          <w:sz w:val="16"/>
        </w:rPr>
        <w:t>q:\cadm\orders\prelim\45000\45624 po.docx</w:t>
      </w:r>
      <w:r w:rsidRPr="003C35B5">
        <w:rPr>
          <w:sz w:val="16"/>
        </w:rPr>
        <w:fldChar w:fldCharType="end"/>
      </w:r>
    </w:p>
    <w:p w:rsidR="002B0DD0" w:rsidRPr="003C35B5" w:rsidRDefault="002B0DD0" w:rsidP="006312D3">
      <w:pPr>
        <w:keepNext/>
        <w:rPr>
          <w:sz w:val="16"/>
        </w:rPr>
      </w:pPr>
    </w:p>
    <w:p w:rsidR="002B0DD0" w:rsidRPr="003C35B5" w:rsidRDefault="002B0DD0">
      <w:pPr>
        <w:spacing w:before="0" w:line="240" w:lineRule="auto"/>
        <w:rPr>
          <w:b/>
        </w:rPr>
      </w:pP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873" w:rsidRDefault="002F7873">
      <w:r>
        <w:separator/>
      </w:r>
    </w:p>
  </w:endnote>
  <w:endnote w:type="continuationSeparator" w:id="0">
    <w:p w:rsidR="002F7873" w:rsidRDefault="002F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873" w:rsidRDefault="002F7873">
      <w:r>
        <w:separator/>
      </w:r>
    </w:p>
  </w:footnote>
  <w:footnote w:type="continuationSeparator" w:id="0">
    <w:p w:rsidR="002F7873" w:rsidRDefault="002F7873">
      <w:r>
        <w:continuationSeparator/>
      </w:r>
    </w:p>
  </w:footnote>
  <w:footnote w:id="1">
    <w:p w:rsidR="00FA7B83" w:rsidRPr="00FA7B83" w:rsidRDefault="00FA7B83">
      <w:pPr>
        <w:pStyle w:val="FootnoteText"/>
      </w:pPr>
      <w:r>
        <w:rPr>
          <w:rStyle w:val="FootnoteReference"/>
        </w:rPr>
        <w:footnoteRef/>
      </w:r>
      <w:r>
        <w:t xml:space="preserve"> FERC Docket No. TX11-01-001, </w:t>
      </w:r>
      <w:r>
        <w:rPr>
          <w:i/>
        </w:rPr>
        <w:t>Southern Cross Transmission LLC</w:t>
      </w:r>
      <w:r>
        <w:t>, 147 FERC ¶ 61, 113 (2014).</w:t>
      </w:r>
    </w:p>
  </w:footnote>
  <w:footnote w:id="2">
    <w:p w:rsidR="003243A0" w:rsidRPr="002133F3" w:rsidRDefault="003243A0">
      <w:pPr>
        <w:pStyle w:val="FootnoteText"/>
        <w:rPr>
          <w:lang w:val="pt-BR"/>
        </w:rPr>
      </w:pPr>
      <w:r>
        <w:rPr>
          <w:rStyle w:val="FootnoteReference"/>
        </w:rPr>
        <w:footnoteRef/>
      </w:r>
      <w:r w:rsidR="00865DC3">
        <w:rPr>
          <w:lang w:val="pt-BR"/>
        </w:rPr>
        <w:t xml:space="preserve"> </w:t>
      </w:r>
      <w:r w:rsidRPr="00C30938">
        <w:rPr>
          <w:lang w:val="pt-BR"/>
        </w:rPr>
        <w:t>Tex. Gov’t Code Ann.</w:t>
      </w:r>
      <w:r w:rsidR="007A5644">
        <w:rPr>
          <w:lang w:val="pt-BR"/>
        </w:rPr>
        <w:t xml:space="preserve"> § 2003.049(e) (</w:t>
      </w:r>
      <w:r w:rsidR="00AE70B4">
        <w:rPr>
          <w:lang w:val="pt-BR"/>
        </w:rPr>
        <w:t>West 2008 &amp; Supp. 2014</w:t>
      </w:r>
      <w:r w:rsidRPr="002133F3">
        <w:rPr>
          <w:lang w:val="pt-BR"/>
        </w:rPr>
        <w:t xml:space="preserve">).  </w:t>
      </w:r>
    </w:p>
  </w:footnote>
  <w:footnote w:id="3">
    <w:p w:rsidR="00362C83" w:rsidRDefault="00362C83" w:rsidP="00362C83">
      <w:pPr>
        <w:pStyle w:val="FootnoteText"/>
      </w:pPr>
      <w:r>
        <w:rPr>
          <w:rStyle w:val="FootnoteReference"/>
        </w:rPr>
        <w:footnoteRef/>
      </w:r>
      <w:r w:rsidR="00865DC3">
        <w:t xml:space="preserve"> </w:t>
      </w:r>
      <w:r>
        <w:t>Tex</w:t>
      </w:r>
      <w:r w:rsidR="006C5555">
        <w:t>.</w:t>
      </w:r>
      <w:r>
        <w:t xml:space="preserve"> Parks and Wildlife Code</w:t>
      </w:r>
      <w:r>
        <w:rPr>
          <w:i/>
        </w:rPr>
        <w:t xml:space="preserve"> </w:t>
      </w:r>
      <w:r>
        <w:t>§ 12.0011(b)</w:t>
      </w:r>
      <w:r w:rsidR="000C5006">
        <w:t xml:space="preserve"> (West)</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rsidP="00C047A0">
    <w:pPr>
      <w:pStyle w:val="Header"/>
      <w:tabs>
        <w:tab w:val="left" w:pos="3857"/>
      </w:tabs>
      <w:spacing w:before="0" w:line="240" w:lineRule="auto"/>
      <w:rPr>
        <w:rStyle w:val="PageNumber"/>
        <w:sz w:val="20"/>
      </w:rPr>
    </w:pPr>
    <w:r>
      <w:rPr>
        <w:rStyle w:val="PageNumber"/>
        <w:sz w:val="20"/>
      </w:rPr>
      <w:t xml:space="preserve">SOAH Docket No. </w:t>
    </w:r>
    <w:r w:rsidR="00BA03D0">
      <w:rPr>
        <w:rStyle w:val="PageNumber"/>
        <w:sz w:val="20"/>
      </w:rPr>
      <w:t>473-16-2751</w:t>
    </w:r>
    <w:r w:rsidR="003243A0" w:rsidRPr="00D07FE4">
      <w:rPr>
        <w:sz w:val="20"/>
      </w:rPr>
      <w:tab/>
    </w:r>
    <w:r w:rsidR="00C047A0">
      <w:rPr>
        <w:sz w:val="20"/>
      </w:rPr>
      <w:tab/>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671831">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671831">
      <w:rPr>
        <w:rStyle w:val="PageNumber"/>
        <w:noProof/>
        <w:sz w:val="20"/>
      </w:rPr>
      <w:t>6</w:t>
    </w:r>
    <w:r w:rsidR="003243A0" w:rsidRPr="00D07FE4">
      <w:rPr>
        <w:rStyle w:val="PageNumber"/>
        <w:sz w:val="20"/>
      </w:rPr>
      <w:fldChar w:fldCharType="end"/>
    </w:r>
  </w:p>
  <w:p w:rsidR="003243A0" w:rsidRPr="00A708B5" w:rsidRDefault="003A255D">
    <w:pPr>
      <w:pStyle w:val="Header"/>
      <w:spacing w:before="0" w:line="240" w:lineRule="auto"/>
      <w:rPr>
        <w:rStyle w:val="PageNumber"/>
        <w:sz w:val="20"/>
      </w:rPr>
    </w:pPr>
    <w:r w:rsidRPr="00A708B5">
      <w:rPr>
        <w:sz w:val="20"/>
      </w:rPr>
      <w:t xml:space="preserve">Docket No. </w:t>
    </w:r>
    <w:r w:rsidR="00A708B5" w:rsidRPr="00A708B5">
      <w:rPr>
        <w:sz w:val="20"/>
      </w:rPr>
      <w:t>45624</w:t>
    </w:r>
    <w:r w:rsidRPr="00A708B5">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312C"/>
    <w:multiLevelType w:val="hybridMultilevel"/>
    <w:tmpl w:val="CF64E2D2"/>
    <w:lvl w:ilvl="0" w:tplc="38846AB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2"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1B647524"/>
    <w:multiLevelType w:val="hybridMultilevel"/>
    <w:tmpl w:val="0B3C55E4"/>
    <w:lvl w:ilvl="0" w:tplc="E5EAFE3C">
      <w:start w:val="1"/>
      <w:numFmt w:val="lowerLetter"/>
      <w:lvlText w:val="%1."/>
      <w:lvlJc w:val="left"/>
      <w:pPr>
        <w:ind w:left="1080" w:hanging="360"/>
      </w:pPr>
      <w:rPr>
        <w:rFonts w:hint="default"/>
        <w:b w:val="0"/>
        <w:i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C5442D"/>
    <w:multiLevelType w:val="multilevel"/>
    <w:tmpl w:val="FD90102C"/>
    <w:lvl w:ilvl="0">
      <w:start w:val="1"/>
      <w:numFmt w:val="decimal"/>
      <w:lvlText w:val="%1."/>
      <w:legacy w:legacy="1" w:legacySpace="0" w:legacyIndent="360"/>
      <w:lvlJc w:val="left"/>
      <w:pPr>
        <w:ind w:left="360" w:hanging="360"/>
      </w:pPr>
      <w:rPr>
        <w:b w:val="0"/>
        <w:i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9"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57010A46"/>
    <w:multiLevelType w:val="hybridMultilevel"/>
    <w:tmpl w:val="E4EE12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2" w15:restartNumberingAfterBreak="0">
    <w:nsid w:val="66F33791"/>
    <w:multiLevelType w:val="hybridMultilevel"/>
    <w:tmpl w:val="68E2172E"/>
    <w:lvl w:ilvl="0" w:tplc="1CC04452">
      <w:start w:val="1"/>
      <w:numFmt w:val="lowerLetter"/>
      <w:lvlText w:val="%1."/>
      <w:lvlJc w:val="left"/>
      <w:pPr>
        <w:ind w:left="1080" w:hanging="360"/>
      </w:pPr>
      <w:rPr>
        <w:rFonts w:hint="default"/>
        <w:b w:val="0"/>
        <w:i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1691D85"/>
    <w:multiLevelType w:val="hybridMultilevel"/>
    <w:tmpl w:val="4FEC6110"/>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7"/>
  </w:num>
  <w:num w:numId="5">
    <w:abstractNumId w:val="9"/>
  </w:num>
  <w:num w:numId="6">
    <w:abstractNumId w:val="2"/>
  </w:num>
  <w:num w:numId="7">
    <w:abstractNumId w:val="3"/>
  </w:num>
  <w:num w:numId="8">
    <w:abstractNumId w:val="5"/>
  </w:num>
  <w:num w:numId="9">
    <w:abstractNumId w:val="11"/>
  </w:num>
  <w:num w:numId="10">
    <w:abstractNumId w:val="13"/>
  </w:num>
  <w:num w:numId="11">
    <w:abstractNumId w:val="12"/>
  </w:num>
  <w:num w:numId="12">
    <w:abstractNumId w:val="4"/>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873"/>
    <w:rsid w:val="0000092F"/>
    <w:rsid w:val="00016E29"/>
    <w:rsid w:val="000268E1"/>
    <w:rsid w:val="000421B9"/>
    <w:rsid w:val="00043F4E"/>
    <w:rsid w:val="00063149"/>
    <w:rsid w:val="00065173"/>
    <w:rsid w:val="00072267"/>
    <w:rsid w:val="000B0FE1"/>
    <w:rsid w:val="000C5006"/>
    <w:rsid w:val="000D3D8B"/>
    <w:rsid w:val="000F3084"/>
    <w:rsid w:val="00103F84"/>
    <w:rsid w:val="00122714"/>
    <w:rsid w:val="0012543C"/>
    <w:rsid w:val="0015623A"/>
    <w:rsid w:val="00197D06"/>
    <w:rsid w:val="001A2247"/>
    <w:rsid w:val="001A3539"/>
    <w:rsid w:val="001B6094"/>
    <w:rsid w:val="001C225E"/>
    <w:rsid w:val="001C5B78"/>
    <w:rsid w:val="001E4645"/>
    <w:rsid w:val="002076DB"/>
    <w:rsid w:val="002133F3"/>
    <w:rsid w:val="00220483"/>
    <w:rsid w:val="00225159"/>
    <w:rsid w:val="00237F22"/>
    <w:rsid w:val="00250A31"/>
    <w:rsid w:val="00256C4F"/>
    <w:rsid w:val="002723B2"/>
    <w:rsid w:val="00274355"/>
    <w:rsid w:val="00275B22"/>
    <w:rsid w:val="00287B62"/>
    <w:rsid w:val="002B0DD0"/>
    <w:rsid w:val="002C4BFF"/>
    <w:rsid w:val="002D2669"/>
    <w:rsid w:val="002F0960"/>
    <w:rsid w:val="002F7873"/>
    <w:rsid w:val="00321C3A"/>
    <w:rsid w:val="00323294"/>
    <w:rsid w:val="003243A0"/>
    <w:rsid w:val="003433AF"/>
    <w:rsid w:val="003572F8"/>
    <w:rsid w:val="00362C83"/>
    <w:rsid w:val="00364BA2"/>
    <w:rsid w:val="00371B5F"/>
    <w:rsid w:val="003860B1"/>
    <w:rsid w:val="003A255D"/>
    <w:rsid w:val="003A5D41"/>
    <w:rsid w:val="003B1810"/>
    <w:rsid w:val="003B6450"/>
    <w:rsid w:val="003C35B5"/>
    <w:rsid w:val="003D1D8E"/>
    <w:rsid w:val="003F4EA4"/>
    <w:rsid w:val="00410FA7"/>
    <w:rsid w:val="00475705"/>
    <w:rsid w:val="004800BA"/>
    <w:rsid w:val="004D5D5F"/>
    <w:rsid w:val="004D698D"/>
    <w:rsid w:val="004E42EB"/>
    <w:rsid w:val="004F4E8F"/>
    <w:rsid w:val="004F5BD8"/>
    <w:rsid w:val="005007AF"/>
    <w:rsid w:val="00527C85"/>
    <w:rsid w:val="005326FD"/>
    <w:rsid w:val="005426CB"/>
    <w:rsid w:val="00554773"/>
    <w:rsid w:val="00556325"/>
    <w:rsid w:val="00573A6F"/>
    <w:rsid w:val="0059481C"/>
    <w:rsid w:val="00594E99"/>
    <w:rsid w:val="005A2B53"/>
    <w:rsid w:val="005B5B97"/>
    <w:rsid w:val="005C5EE4"/>
    <w:rsid w:val="005E773E"/>
    <w:rsid w:val="00612E27"/>
    <w:rsid w:val="006312D3"/>
    <w:rsid w:val="0063761E"/>
    <w:rsid w:val="00653486"/>
    <w:rsid w:val="00661B3A"/>
    <w:rsid w:val="00663C6A"/>
    <w:rsid w:val="00665510"/>
    <w:rsid w:val="00671831"/>
    <w:rsid w:val="00675859"/>
    <w:rsid w:val="00676438"/>
    <w:rsid w:val="00681DB9"/>
    <w:rsid w:val="00683707"/>
    <w:rsid w:val="00691C32"/>
    <w:rsid w:val="006C5555"/>
    <w:rsid w:val="006F000D"/>
    <w:rsid w:val="00714D4D"/>
    <w:rsid w:val="00733AFE"/>
    <w:rsid w:val="00734762"/>
    <w:rsid w:val="0073745B"/>
    <w:rsid w:val="00740E40"/>
    <w:rsid w:val="0074722F"/>
    <w:rsid w:val="007505CE"/>
    <w:rsid w:val="0078457A"/>
    <w:rsid w:val="00790458"/>
    <w:rsid w:val="00797BEA"/>
    <w:rsid w:val="007A5644"/>
    <w:rsid w:val="007B0413"/>
    <w:rsid w:val="007B04CB"/>
    <w:rsid w:val="007B24AD"/>
    <w:rsid w:val="007B28FD"/>
    <w:rsid w:val="007F3C40"/>
    <w:rsid w:val="00822FFD"/>
    <w:rsid w:val="008342FA"/>
    <w:rsid w:val="008535CF"/>
    <w:rsid w:val="00865DC3"/>
    <w:rsid w:val="00891B64"/>
    <w:rsid w:val="008A3AF6"/>
    <w:rsid w:val="008C3149"/>
    <w:rsid w:val="008C731B"/>
    <w:rsid w:val="008C7F0C"/>
    <w:rsid w:val="008D3782"/>
    <w:rsid w:val="008E5899"/>
    <w:rsid w:val="00917E2A"/>
    <w:rsid w:val="009264E7"/>
    <w:rsid w:val="00931A83"/>
    <w:rsid w:val="009675E3"/>
    <w:rsid w:val="009846C1"/>
    <w:rsid w:val="00992AF0"/>
    <w:rsid w:val="00995701"/>
    <w:rsid w:val="009E4AB8"/>
    <w:rsid w:val="009F1850"/>
    <w:rsid w:val="00A0199A"/>
    <w:rsid w:val="00A13D72"/>
    <w:rsid w:val="00A62550"/>
    <w:rsid w:val="00A708B5"/>
    <w:rsid w:val="00A96457"/>
    <w:rsid w:val="00AA36AA"/>
    <w:rsid w:val="00AC2D6E"/>
    <w:rsid w:val="00AC6163"/>
    <w:rsid w:val="00AD0759"/>
    <w:rsid w:val="00AD07F2"/>
    <w:rsid w:val="00AE6039"/>
    <w:rsid w:val="00AE70B4"/>
    <w:rsid w:val="00B03B79"/>
    <w:rsid w:val="00B10142"/>
    <w:rsid w:val="00B13AB8"/>
    <w:rsid w:val="00B17E76"/>
    <w:rsid w:val="00B21133"/>
    <w:rsid w:val="00B43A3C"/>
    <w:rsid w:val="00B77767"/>
    <w:rsid w:val="00B81B17"/>
    <w:rsid w:val="00BA03D0"/>
    <w:rsid w:val="00BA289E"/>
    <w:rsid w:val="00BB20ED"/>
    <w:rsid w:val="00BC19E0"/>
    <w:rsid w:val="00BE2824"/>
    <w:rsid w:val="00C02066"/>
    <w:rsid w:val="00C047A0"/>
    <w:rsid w:val="00C122DB"/>
    <w:rsid w:val="00C20B71"/>
    <w:rsid w:val="00C2483A"/>
    <w:rsid w:val="00C30938"/>
    <w:rsid w:val="00C35689"/>
    <w:rsid w:val="00C60EC4"/>
    <w:rsid w:val="00C61C06"/>
    <w:rsid w:val="00CE35AC"/>
    <w:rsid w:val="00CE470D"/>
    <w:rsid w:val="00CE5C32"/>
    <w:rsid w:val="00D07FE4"/>
    <w:rsid w:val="00D10A2B"/>
    <w:rsid w:val="00D11909"/>
    <w:rsid w:val="00DA6D8B"/>
    <w:rsid w:val="00DD0940"/>
    <w:rsid w:val="00E149E4"/>
    <w:rsid w:val="00E30984"/>
    <w:rsid w:val="00E55ACA"/>
    <w:rsid w:val="00E95E0E"/>
    <w:rsid w:val="00EC753C"/>
    <w:rsid w:val="00ED0DBE"/>
    <w:rsid w:val="00ED2FB7"/>
    <w:rsid w:val="00F02959"/>
    <w:rsid w:val="00F229FB"/>
    <w:rsid w:val="00F24A33"/>
    <w:rsid w:val="00F54584"/>
    <w:rsid w:val="00F803DC"/>
    <w:rsid w:val="00FA7B83"/>
    <w:rsid w:val="00FB1294"/>
    <w:rsid w:val="00FB4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F6E20F-0992-4EB0-9932-833B2E99A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C047A0"/>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C047A0"/>
    <w:rPr>
      <w:rFonts w:ascii="Segoe UI" w:hAnsi="Segoe UI" w:cs="Segoe UI"/>
      <w:sz w:val="18"/>
      <w:szCs w:val="18"/>
    </w:rPr>
  </w:style>
  <w:style w:type="paragraph" w:styleId="ListParagraph">
    <w:name w:val="List Paragraph"/>
    <w:basedOn w:val="Normal"/>
    <w:uiPriority w:val="34"/>
    <w:qFormat/>
    <w:rsid w:val="009E4A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94E62-C5E9-4E97-995F-D8027F7CC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316</TotalTime>
  <Pages>6</Pages>
  <Words>1335</Words>
  <Characters>7188</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Hrncir, David</dc:creator>
  <cp:keywords/>
  <cp:lastModifiedBy>Roundtree-Williams, Keva</cp:lastModifiedBy>
  <cp:revision>151</cp:revision>
  <cp:lastPrinted>2016-03-08T22:22:00Z</cp:lastPrinted>
  <dcterms:created xsi:type="dcterms:W3CDTF">2016-02-29T21:50:00Z</dcterms:created>
  <dcterms:modified xsi:type="dcterms:W3CDTF">2016-03-08T22:24:00Z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